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rPr>
          <w:rFonts w:ascii="Times New Roman" w:hAnsi="Times New Roman"/>
        </w:rPr>
      </w:pPr>
      <w:r>
        <w:drawing>
          <wp:anchor behindDoc="0" distT="0" distB="0" distL="0" distR="0" simplePos="0" locked="0" layoutInCell="0" allowOverlap="1" relativeHeight="2">
            <wp:simplePos x="0" y="0"/>
            <wp:positionH relativeFrom="column">
              <wp:posOffset>899795</wp:posOffset>
            </wp:positionH>
            <wp:positionV relativeFrom="paragraph">
              <wp:posOffset>-192405</wp:posOffset>
            </wp:positionV>
            <wp:extent cx="556260" cy="718820"/>
            <wp:effectExtent l="0" t="0" r="0" b="0"/>
            <wp:wrapTopAndBottom/>
            <wp:docPr id="1" name="Slik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1" descr=""/>
                    <pic:cNvPicPr>
                      <a:picLocks noChangeAspect="1" noChangeArrowheads="1"/>
                    </pic:cNvPicPr>
                  </pic:nvPicPr>
                  <pic:blipFill>
                    <a:blip r:embed="rId2"/>
                    <a:srcRect l="-1658" t="-1330" r="-1658" b="-1330"/>
                    <a:stretch>
                      <a:fillRect/>
                    </a:stretch>
                  </pic:blipFill>
                  <pic:spPr bwMode="auto">
                    <a:xfrm>
                      <a:off x="0" y="0"/>
                      <a:ext cx="556260" cy="718820"/>
                    </a:xfrm>
                    <a:prstGeom prst="rect">
                      <a:avLst/>
                    </a:prstGeom>
                  </pic:spPr>
                </pic:pic>
              </a:graphicData>
            </a:graphic>
          </wp:anchor>
        </w:drawing>
      </w:r>
      <w:r>
        <w:rPr>
          <w:rFonts w:ascii="Times New Roman" w:hAnsi="Times New Roman"/>
          <w:b/>
          <w:bCs/>
          <w:color w:val="111111"/>
          <w:sz w:val="24"/>
          <w:szCs w:val="24"/>
        </w:rPr>
        <w:t xml:space="preserve">        </w:t>
      </w:r>
      <w:r>
        <w:rPr>
          <w:rFonts w:ascii="Times New Roman" w:hAnsi="Times New Roman"/>
          <w:b/>
          <w:bCs/>
          <w:color w:val="111111"/>
          <w:sz w:val="24"/>
          <w:szCs w:val="24"/>
        </w:rPr>
        <w:t xml:space="preserve">REPUBLIKA HRVATSKA </w:t>
        <w:tab/>
        <w:tab/>
        <w:tab/>
        <w:tab/>
        <w:tab/>
      </w:r>
      <w:r>
        <w:rPr>
          <w:rFonts w:ascii="Times New Roman" w:hAnsi="Times New Roman"/>
          <w:b w:val="false"/>
          <w:bCs w:val="false"/>
          <w:i/>
          <w:iCs/>
          <w:color w:val="111111"/>
          <w:sz w:val="24"/>
          <w:szCs w:val="24"/>
        </w:rPr>
        <w:t>PRIJEDLOG</w:t>
      </w:r>
    </w:p>
    <w:p>
      <w:pPr>
        <w:pStyle w:val="Normal"/>
        <w:spacing w:before="0" w:after="0"/>
        <w:rPr>
          <w:rFonts w:ascii="Times New Roman" w:hAnsi="Times New Roman"/>
        </w:rPr>
      </w:pPr>
      <w:r>
        <w:rPr>
          <w:rFonts w:ascii="Times New Roman" w:hAnsi="Times New Roman"/>
          <w:b/>
          <w:bCs/>
          <w:color w:val="111111"/>
          <w:sz w:val="24"/>
          <w:szCs w:val="24"/>
        </w:rPr>
        <w:t xml:space="preserve">OSJEČKO-BARANJSKA ŽUPANIJA                      </w:t>
      </w:r>
      <w:r>
        <w:rPr>
          <w:rFonts w:ascii="Times New Roman" w:hAnsi="Times New Roman"/>
          <w:b w:val="false"/>
          <w:bCs w:val="false"/>
          <w:i/>
          <w:iCs/>
          <w:color w:val="111111"/>
          <w:sz w:val="24"/>
          <w:szCs w:val="24"/>
        </w:rPr>
        <w:t xml:space="preserve"> </w:t>
      </w:r>
    </w:p>
    <w:p>
      <w:pPr>
        <w:pStyle w:val="Normal"/>
        <w:spacing w:before="0" w:after="0"/>
        <w:rPr>
          <w:rFonts w:ascii="Times New Roman" w:hAnsi="Times New Roman"/>
        </w:rPr>
      </w:pPr>
      <w:r>
        <w:rPr>
          <w:rFonts w:ascii="Times New Roman" w:hAnsi="Times New Roman"/>
          <w:b/>
          <w:bCs/>
          <w:color w:val="111111"/>
          <w:sz w:val="24"/>
          <w:szCs w:val="24"/>
        </w:rPr>
        <w:t xml:space="preserve">           </w:t>
      </w:r>
      <w:r>
        <w:rPr>
          <w:rFonts w:ascii="Times New Roman" w:hAnsi="Times New Roman"/>
          <w:b/>
          <w:bCs/>
          <w:color w:val="111111"/>
          <w:sz w:val="24"/>
          <w:szCs w:val="24"/>
        </w:rPr>
        <w:t>OPĆINA MARIJANCI</w:t>
      </w:r>
    </w:p>
    <w:p>
      <w:pPr>
        <w:pStyle w:val="Normal"/>
        <w:spacing w:before="0" w:after="160"/>
        <w:rPr>
          <w:rFonts w:ascii="Times New Roman" w:hAnsi="Times New Roman"/>
        </w:rPr>
      </w:pPr>
      <w:r>
        <w:rPr>
          <w:rFonts w:ascii="Times New Roman" w:hAnsi="Times New Roman"/>
          <w:b w:val="false"/>
          <w:bCs w:val="false"/>
          <w:color w:val="111111"/>
          <w:sz w:val="24"/>
          <w:szCs w:val="24"/>
        </w:rPr>
        <w:t xml:space="preserve">              </w:t>
      </w:r>
      <w:r>
        <w:rPr>
          <w:rFonts w:ascii="Times New Roman" w:hAnsi="Times New Roman"/>
          <w:b w:val="false"/>
          <w:bCs w:val="false"/>
          <w:color w:val="111111"/>
          <w:sz w:val="24"/>
          <w:szCs w:val="24"/>
        </w:rPr>
        <w:t>OPĆINSKO VIJEĆE</w:t>
      </w:r>
      <w:r>
        <w:rPr>
          <w:rFonts w:ascii="Times New Roman" w:hAnsi="Times New Roman"/>
          <w:color w:val="111111"/>
          <w:sz w:val="24"/>
          <w:szCs w:val="24"/>
        </w:rPr>
        <w:t xml:space="preserve"> </w:t>
      </w:r>
    </w:p>
    <w:p>
      <w:pPr>
        <w:pStyle w:val="Normal"/>
        <w:widowControl/>
        <w:suppressAutoHyphens w:val="true"/>
        <w:overflowPunct w:val="true"/>
        <w:bidi w:val="0"/>
        <w:spacing w:lineRule="auto" w:line="247" w:before="0" w:after="0"/>
        <w:ind w:hanging="0" w:left="0" w:right="-57"/>
        <w:jc w:val="both"/>
        <w:rPr>
          <w:rFonts w:ascii="Times New Roman" w:hAnsi="Times New Roman"/>
        </w:rPr>
      </w:pPr>
      <w:r>
        <w:rPr>
          <w:rFonts w:cs="Calibri" w:ascii="Times New Roman" w:hAnsi="Times New Roman"/>
          <w:color w:val="111111"/>
          <w:sz w:val="24"/>
          <w:szCs w:val="24"/>
        </w:rPr>
        <w:t xml:space="preserve">KLASA: </w:t>
        <w:tab/>
      </w:r>
    </w:p>
    <w:p>
      <w:pPr>
        <w:pStyle w:val="Normal"/>
        <w:widowControl/>
        <w:suppressAutoHyphens w:val="true"/>
        <w:overflowPunct w:val="true"/>
        <w:bidi w:val="0"/>
        <w:spacing w:lineRule="auto" w:line="247" w:before="0" w:after="0"/>
        <w:ind w:hanging="0" w:left="0" w:right="-57"/>
        <w:jc w:val="both"/>
        <w:rPr>
          <w:rFonts w:ascii="Times New Roman" w:hAnsi="Times New Roman"/>
        </w:rPr>
      </w:pPr>
      <w:r>
        <w:rPr>
          <w:rFonts w:cs="Calibri" w:ascii="Times New Roman" w:hAnsi="Times New Roman"/>
          <w:color w:val="111111"/>
          <w:sz w:val="24"/>
          <w:szCs w:val="24"/>
        </w:rPr>
        <w:t>URBROJ: 2158-27-01-25-</w:t>
      </w:r>
    </w:p>
    <w:p>
      <w:pPr>
        <w:pStyle w:val="Normal"/>
        <w:spacing w:lineRule="auto" w:line="259" w:before="0" w:after="0"/>
        <w:ind w:hanging="10" w:left="-5" w:right="0"/>
        <w:jc w:val="left"/>
        <w:rPr>
          <w:rFonts w:ascii="Times New Roman" w:hAnsi="Times New Roman"/>
        </w:rPr>
      </w:pPr>
      <w:r>
        <w:rPr>
          <w:rFonts w:cs="Calibri" w:ascii="Times New Roman" w:hAnsi="Times New Roman"/>
          <w:color w:val="111111"/>
        </w:rPr>
        <w:t>U Marijancima, _________ 2025. godine</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t xml:space="preserve">Na temelju članka 10. 13. 14. i 18. Zakona o grobljima (“Narodne novine” br. 19/98 i 50/12) i članka </w:t>
      </w:r>
      <w:r>
        <w:rPr>
          <w:rFonts w:ascii="Times New Roman" w:hAnsi="Times New Roman"/>
          <w:sz w:val="24"/>
          <w:szCs w:val="24"/>
        </w:rPr>
        <w:t>31</w:t>
      </w:r>
      <w:r>
        <w:rPr>
          <w:rFonts w:ascii="Times New Roman" w:hAnsi="Times New Roman"/>
          <w:sz w:val="24"/>
          <w:szCs w:val="24"/>
        </w:rPr>
        <w:t xml:space="preserve">. Statuta </w:t>
      </w:r>
      <w:r>
        <w:rPr>
          <w:rFonts w:ascii="Times New Roman" w:hAnsi="Times New Roman"/>
          <w:sz w:val="24"/>
          <w:szCs w:val="24"/>
        </w:rPr>
        <w:t>Općine Marijanci</w:t>
      </w:r>
      <w:r>
        <w:rPr>
          <w:rFonts w:ascii="Times New Roman" w:hAnsi="Times New Roman"/>
          <w:sz w:val="24"/>
          <w:szCs w:val="24"/>
        </w:rPr>
        <w:t xml:space="preserve"> (“Službeni glasnik” </w:t>
      </w:r>
      <w:r>
        <w:rPr>
          <w:rFonts w:ascii="Times New Roman" w:hAnsi="Times New Roman"/>
          <w:sz w:val="24"/>
          <w:szCs w:val="24"/>
        </w:rPr>
        <w:t>Općine Marijanci</w:t>
      </w:r>
      <w:r>
        <w:rPr>
          <w:rFonts w:ascii="Times New Roman" w:hAnsi="Times New Roman"/>
          <w:sz w:val="24"/>
          <w:szCs w:val="24"/>
        </w:rPr>
        <w:t xml:space="preserve"> br. </w:t>
      </w:r>
      <w:r>
        <w:rPr>
          <w:rFonts w:ascii="Times New Roman" w:hAnsi="Times New Roman"/>
          <w:sz w:val="24"/>
          <w:szCs w:val="24"/>
        </w:rPr>
        <w:t>3/21</w:t>
      </w:r>
      <w:r>
        <w:rPr>
          <w:rFonts w:ascii="Times New Roman" w:hAnsi="Times New Roman"/>
          <w:sz w:val="24"/>
          <w:szCs w:val="24"/>
        </w:rPr>
        <w:t xml:space="preserve">), i članka </w:t>
      </w:r>
      <w:r>
        <w:rPr>
          <w:rFonts w:ascii="Times New Roman" w:hAnsi="Times New Roman"/>
          <w:sz w:val="24"/>
          <w:szCs w:val="24"/>
        </w:rPr>
        <w:t>8</w:t>
      </w:r>
      <w:r>
        <w:rPr>
          <w:rFonts w:ascii="Times New Roman" w:hAnsi="Times New Roman"/>
          <w:sz w:val="24"/>
          <w:szCs w:val="24"/>
        </w:rPr>
        <w:t>. Odluke o Komunalnim djelatnostima na područ</w:t>
      </w:r>
      <w:r>
        <w:rPr>
          <w:rFonts w:ascii="Times New Roman" w:hAnsi="Times New Roman"/>
          <w:sz w:val="24"/>
          <w:szCs w:val="24"/>
        </w:rPr>
        <w:t>ju Općine Marijanci</w:t>
      </w:r>
      <w:r>
        <w:rPr>
          <w:rFonts w:ascii="Times New Roman" w:hAnsi="Times New Roman"/>
          <w:sz w:val="24"/>
          <w:szCs w:val="24"/>
        </w:rPr>
        <w:t xml:space="preserve"> (</w:t>
      </w:r>
      <w:r>
        <w:rPr>
          <w:rFonts w:ascii="Times New Roman" w:hAnsi="Times New Roman"/>
          <w:sz w:val="24"/>
          <w:szCs w:val="24"/>
        </w:rPr>
        <w:t xml:space="preserve">KLASA: , URBROJ: </w:t>
      </w:r>
      <w:r>
        <w:rPr>
          <w:rFonts w:ascii="Times New Roman" w:hAnsi="Times New Roman"/>
          <w:sz w:val="24"/>
          <w:szCs w:val="24"/>
        </w:rPr>
        <w:t xml:space="preserve">), </w:t>
      </w:r>
      <w:r>
        <w:rPr>
          <w:rFonts w:ascii="Times New Roman" w:hAnsi="Times New Roman"/>
          <w:sz w:val="24"/>
          <w:szCs w:val="24"/>
        </w:rPr>
        <w:t>Općinsko vijeća</w:t>
      </w:r>
      <w:r>
        <w:rPr>
          <w:rFonts w:ascii="Times New Roman" w:hAnsi="Times New Roman"/>
          <w:sz w:val="24"/>
          <w:szCs w:val="24"/>
        </w:rPr>
        <w:t xml:space="preserve"> na </w:t>
      </w:r>
      <w:r>
        <w:rPr>
          <w:rFonts w:ascii="Times New Roman" w:hAnsi="Times New Roman"/>
          <w:sz w:val="24"/>
          <w:szCs w:val="24"/>
        </w:rPr>
        <w:t>24</w:t>
      </w:r>
      <w:r>
        <w:rPr>
          <w:rFonts w:ascii="Times New Roman" w:hAnsi="Times New Roman"/>
          <w:sz w:val="24"/>
          <w:szCs w:val="24"/>
        </w:rPr>
        <w:t xml:space="preserve">. sjednici održanoj dana </w:t>
      </w:r>
      <w:r>
        <w:rPr>
          <w:rFonts w:ascii="Times New Roman" w:hAnsi="Times New Roman"/>
          <w:sz w:val="24"/>
          <w:szCs w:val="24"/>
        </w:rPr>
        <w:t>__ veljače</w:t>
      </w:r>
      <w:r>
        <w:rPr>
          <w:rFonts w:ascii="Times New Roman" w:hAnsi="Times New Roman"/>
          <w:sz w:val="24"/>
          <w:szCs w:val="24"/>
        </w:rPr>
        <w:t xml:space="preserve"> 20</w:t>
      </w:r>
      <w:r>
        <w:rPr>
          <w:rFonts w:ascii="Times New Roman" w:hAnsi="Times New Roman"/>
          <w:sz w:val="24"/>
          <w:szCs w:val="24"/>
        </w:rPr>
        <w:t>25</w:t>
      </w:r>
      <w:r>
        <w:rPr>
          <w:rFonts w:ascii="Times New Roman" w:hAnsi="Times New Roman"/>
          <w:sz w:val="24"/>
          <w:szCs w:val="24"/>
        </w:rPr>
        <w:t>. godine donosi</w:t>
      </w:r>
    </w:p>
    <w:p>
      <w:pPr>
        <w:pStyle w:val="Normal"/>
        <w:jc w:val="center"/>
        <w:rPr>
          <w:rFonts w:ascii="Times New Roman" w:hAnsi="Times New Roman"/>
          <w:b/>
          <w:sz w:val="24"/>
          <w:szCs w:val="24"/>
        </w:rPr>
      </w:pPr>
      <w:r>
        <w:rPr>
          <w:rFonts w:ascii="Times New Roman" w:hAnsi="Times New Roman"/>
          <w:b/>
          <w:sz w:val="24"/>
          <w:szCs w:val="24"/>
        </w:rPr>
      </w:r>
    </w:p>
    <w:p>
      <w:pPr>
        <w:pStyle w:val="Normal"/>
        <w:jc w:val="center"/>
        <w:rPr>
          <w:rFonts w:ascii="Times New Roman" w:hAnsi="Times New Roman"/>
          <w:sz w:val="24"/>
          <w:szCs w:val="24"/>
        </w:rPr>
      </w:pPr>
      <w:r>
        <w:rPr>
          <w:rFonts w:ascii="Times New Roman" w:hAnsi="Times New Roman"/>
          <w:b/>
          <w:sz w:val="24"/>
          <w:szCs w:val="24"/>
        </w:rPr>
        <w:t>O D L U K U</w:t>
      </w:r>
    </w:p>
    <w:p>
      <w:pPr>
        <w:pStyle w:val="Normal"/>
        <w:spacing w:before="0" w:after="0"/>
        <w:jc w:val="center"/>
        <w:rPr>
          <w:rFonts w:ascii="Times New Roman" w:hAnsi="Times New Roman"/>
          <w:sz w:val="24"/>
          <w:szCs w:val="24"/>
        </w:rPr>
      </w:pPr>
      <w:r>
        <w:rPr>
          <w:rFonts w:ascii="Times New Roman" w:hAnsi="Times New Roman"/>
          <w:b/>
          <w:sz w:val="24"/>
          <w:szCs w:val="24"/>
        </w:rPr>
        <w:t>o održavanju, uređenju i upravljanju grobljima u naseljima na području</w:t>
      </w:r>
    </w:p>
    <w:p>
      <w:pPr>
        <w:pStyle w:val="Normal"/>
        <w:jc w:val="center"/>
        <w:rPr>
          <w:rFonts w:ascii="Times New Roman" w:hAnsi="Times New Roman"/>
          <w:sz w:val="24"/>
          <w:szCs w:val="24"/>
        </w:rPr>
      </w:pPr>
      <w:r>
        <w:rPr>
          <w:rFonts w:ascii="Times New Roman" w:hAnsi="Times New Roman"/>
          <w:b/>
          <w:sz w:val="24"/>
          <w:szCs w:val="24"/>
        </w:rPr>
        <w:t>Općine Marijanci</w:t>
      </w:r>
    </w:p>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b/>
          <w:bCs/>
          <w:sz w:val="24"/>
          <w:szCs w:val="24"/>
        </w:rPr>
      </w:pPr>
      <w:r>
        <w:rPr>
          <w:rFonts w:ascii="Times New Roman" w:hAnsi="Times New Roman"/>
          <w:b/>
          <w:bCs/>
          <w:sz w:val="24"/>
          <w:szCs w:val="24"/>
        </w:rPr>
        <w:t>I. OPĆE ODREDBE</w:t>
      </w:r>
    </w:p>
    <w:p>
      <w:pPr>
        <w:pStyle w:val="Normal"/>
        <w:spacing w:before="0" w:after="0"/>
        <w:jc w:val="center"/>
        <w:rPr>
          <w:rFonts w:ascii="Times New Roman" w:hAnsi="Times New Roman"/>
          <w:sz w:val="24"/>
          <w:szCs w:val="24"/>
        </w:rPr>
      </w:pPr>
      <w:r>
        <w:rPr>
          <w:rFonts w:ascii="Times New Roman" w:hAnsi="Times New Roman"/>
          <w:b/>
          <w:sz w:val="24"/>
          <w:szCs w:val="24"/>
        </w:rPr>
        <w:t>Članak 1.</w:t>
      </w:r>
    </w:p>
    <w:p>
      <w:pPr>
        <w:pStyle w:val="Normal"/>
        <w:jc w:val="both"/>
        <w:rPr>
          <w:rFonts w:ascii="Times New Roman" w:hAnsi="Times New Roman"/>
          <w:sz w:val="24"/>
          <w:szCs w:val="24"/>
        </w:rPr>
      </w:pPr>
      <w:r>
        <w:rPr>
          <w:rFonts w:ascii="Times New Roman" w:hAnsi="Times New Roman"/>
          <w:sz w:val="24"/>
          <w:szCs w:val="24"/>
        </w:rPr>
        <w:t xml:space="preserve">Ovom se Odlukom uređuje obavljanje komunalnih djelatnosti održavanja i upravljanja grobljima u naseljima na području </w:t>
      </w:r>
      <w:r>
        <w:rPr>
          <w:rFonts w:ascii="Times New Roman" w:hAnsi="Times New Roman"/>
          <w:sz w:val="24"/>
          <w:szCs w:val="24"/>
        </w:rPr>
        <w:t>O</w:t>
      </w:r>
      <w:r>
        <w:rPr>
          <w:rFonts w:ascii="Times New Roman" w:hAnsi="Times New Roman"/>
          <w:sz w:val="24"/>
          <w:szCs w:val="24"/>
        </w:rPr>
        <w:t>pćine Marijanci, a posebice odredbe o:</w:t>
      </w:r>
    </w:p>
    <w:p>
      <w:pPr>
        <w:pStyle w:val="NoSpacing"/>
        <w:numPr>
          <w:ilvl w:val="0"/>
          <w:numId w:val="1"/>
        </w:numPr>
        <w:rPr>
          <w:rFonts w:ascii="Times New Roman" w:hAnsi="Times New Roman"/>
          <w:sz w:val="24"/>
          <w:szCs w:val="24"/>
        </w:rPr>
      </w:pPr>
      <w:r>
        <w:rPr>
          <w:rFonts w:ascii="Times New Roman" w:hAnsi="Times New Roman"/>
          <w:sz w:val="24"/>
          <w:szCs w:val="24"/>
        </w:rPr>
        <w:t>mjerilima i načinu dodjeljivanja i ustupanja grobnih mjesta na korištenje,  vremenskim razmacima ukopa u popunjena grobna mjesta, te načinu  ukopa nepoznatih osoba,</w:t>
      </w:r>
    </w:p>
    <w:p>
      <w:pPr>
        <w:pStyle w:val="NoSpacing"/>
        <w:numPr>
          <w:ilvl w:val="0"/>
          <w:numId w:val="1"/>
        </w:numPr>
        <w:rPr>
          <w:rFonts w:ascii="Times New Roman" w:hAnsi="Times New Roman"/>
          <w:sz w:val="24"/>
          <w:szCs w:val="24"/>
        </w:rPr>
      </w:pPr>
      <w:r>
        <w:rPr>
          <w:rFonts w:ascii="Times New Roman" w:hAnsi="Times New Roman"/>
          <w:sz w:val="24"/>
          <w:szCs w:val="24"/>
        </w:rPr>
        <w:t xml:space="preserve">održavanju groblja i uklanjanju otpada,  </w:t>
      </w:r>
    </w:p>
    <w:p>
      <w:pPr>
        <w:pStyle w:val="NoSpacing"/>
        <w:numPr>
          <w:ilvl w:val="0"/>
          <w:numId w:val="1"/>
        </w:numPr>
        <w:rPr>
          <w:rFonts w:ascii="Times New Roman" w:hAnsi="Times New Roman"/>
          <w:sz w:val="24"/>
          <w:szCs w:val="24"/>
        </w:rPr>
      </w:pPr>
      <w:r>
        <w:rPr>
          <w:rFonts w:ascii="Times New Roman" w:hAnsi="Times New Roman"/>
          <w:sz w:val="24"/>
          <w:szCs w:val="24"/>
        </w:rPr>
        <w:t>uvjetima upravljanja grobljem od strane pravne osobe koja upravlja  grobljem,</w:t>
      </w:r>
    </w:p>
    <w:p>
      <w:pPr>
        <w:pStyle w:val="NoSpacing"/>
        <w:numPr>
          <w:ilvl w:val="0"/>
          <w:numId w:val="1"/>
        </w:numPr>
        <w:rPr>
          <w:rFonts w:ascii="Times New Roman" w:hAnsi="Times New Roman"/>
          <w:sz w:val="24"/>
          <w:szCs w:val="24"/>
        </w:rPr>
      </w:pPr>
      <w:r>
        <w:rPr>
          <w:rFonts w:ascii="Times New Roman" w:hAnsi="Times New Roman"/>
          <w:sz w:val="24"/>
          <w:szCs w:val="24"/>
        </w:rPr>
        <w:t>uvjetima i mjerilima za plaćanje naknade kod dodjele grobnih mjesta i  godišnje naknade za korištenje grobnih mjesta.</w:t>
      </w:r>
    </w:p>
    <w:p>
      <w:pPr>
        <w:pStyle w:val="NoSpacing"/>
        <w:ind w:left="405"/>
        <w:rPr>
          <w:rFonts w:ascii="Times New Roman" w:hAnsi="Times New Roman"/>
          <w:sz w:val="24"/>
          <w:szCs w:val="24"/>
        </w:rPr>
      </w:pPr>
      <w:r>
        <w:rPr>
          <w:rFonts w:ascii="Times New Roman" w:hAnsi="Times New Roman"/>
          <w:sz w:val="24"/>
          <w:szCs w:val="24"/>
        </w:rPr>
      </w:r>
    </w:p>
    <w:p>
      <w:pPr>
        <w:pStyle w:val="NoSpacing"/>
        <w:jc w:val="center"/>
        <w:rPr>
          <w:rFonts w:ascii="Times New Roman" w:hAnsi="Times New Roman"/>
          <w:sz w:val="24"/>
          <w:szCs w:val="24"/>
        </w:rPr>
      </w:pPr>
      <w:r>
        <w:rPr>
          <w:rFonts w:ascii="Times New Roman" w:hAnsi="Times New Roman"/>
          <w:b/>
          <w:sz w:val="24"/>
          <w:szCs w:val="24"/>
        </w:rPr>
        <w:t>Članak 2.</w:t>
      </w:r>
    </w:p>
    <w:p>
      <w:pPr>
        <w:pStyle w:val="No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U smislu ove Odluke:</w:t>
      </w:r>
    </w:p>
    <w:p>
      <w:pPr>
        <w:pStyle w:val="No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grobna mjesta su grobovi i grobnice namijenjene za ukop umrlih  osoba,</w:t>
      </w:r>
    </w:p>
    <w:p>
      <w:pPr>
        <w:pStyle w:val="No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korisnici grobnih mjesta su umrle osobe i njihovi nasljednici,</w:t>
      </w:r>
    </w:p>
    <w:p>
      <w:pPr>
        <w:pStyle w:val="NoSpacing"/>
        <w:jc w:val="center"/>
        <w:rPr>
          <w:rFonts w:ascii="Times New Roman" w:hAnsi="Times New Roman"/>
          <w:b/>
          <w:sz w:val="24"/>
          <w:szCs w:val="24"/>
        </w:rPr>
      </w:pPr>
      <w:r>
        <w:rPr>
          <w:rFonts w:ascii="Times New Roman" w:hAnsi="Times New Roman"/>
          <w:b/>
          <w:sz w:val="24"/>
          <w:szCs w:val="24"/>
        </w:rPr>
      </w:r>
    </w:p>
    <w:p>
      <w:pPr>
        <w:pStyle w:val="NoSpacing"/>
        <w:jc w:val="center"/>
        <w:rPr>
          <w:rFonts w:ascii="Times New Roman" w:hAnsi="Times New Roman"/>
          <w:sz w:val="24"/>
          <w:szCs w:val="24"/>
        </w:rPr>
      </w:pPr>
      <w:r>
        <w:rPr>
          <w:rFonts w:ascii="Times New Roman" w:hAnsi="Times New Roman"/>
          <w:b/>
          <w:sz w:val="24"/>
          <w:szCs w:val="24"/>
        </w:rPr>
        <w:t>Članak 3.</w:t>
      </w:r>
    </w:p>
    <w:p>
      <w:pPr>
        <w:pStyle w:val="Normal"/>
        <w:jc w:val="both"/>
        <w:rPr>
          <w:rFonts w:ascii="Times New Roman" w:hAnsi="Times New Roman"/>
          <w:sz w:val="24"/>
          <w:szCs w:val="24"/>
        </w:rPr>
      </w:pPr>
      <w:r>
        <w:rPr>
          <w:rFonts w:ascii="Times New Roman" w:hAnsi="Times New Roman"/>
          <w:sz w:val="24"/>
          <w:szCs w:val="24"/>
        </w:rPr>
        <w:t xml:space="preserve">Održavanje, uređenje i upravljanje grobljima u naseljima na području </w:t>
      </w:r>
      <w:r>
        <w:rPr>
          <w:rFonts w:ascii="Times New Roman" w:hAnsi="Times New Roman"/>
          <w:sz w:val="24"/>
          <w:szCs w:val="24"/>
        </w:rPr>
        <w:t>O</w:t>
      </w:r>
      <w:r>
        <w:rPr>
          <w:rFonts w:ascii="Times New Roman" w:hAnsi="Times New Roman"/>
          <w:sz w:val="24"/>
          <w:szCs w:val="24"/>
        </w:rPr>
        <w:t>pćine Marijanci obavlja Doroslov D.o.o. Donji Miholjac iz Donjeg Miholjca, Naselje Tržnica 2a ( u daljnjem tekstu: Uprava groblja).</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spacing w:before="0" w:after="0"/>
        <w:jc w:val="center"/>
        <w:rPr>
          <w:rFonts w:ascii="Times New Roman" w:hAnsi="Times New Roman"/>
          <w:sz w:val="24"/>
          <w:szCs w:val="24"/>
        </w:rPr>
      </w:pPr>
      <w:r>
        <w:rPr>
          <w:rFonts w:ascii="Times New Roman" w:hAnsi="Times New Roman"/>
          <w:b/>
          <w:sz w:val="24"/>
          <w:szCs w:val="24"/>
        </w:rPr>
        <w:t>II. MJERILA I NAČIN DODJELJIVANJA I USTUPANJA GROBNIH</w:t>
      </w:r>
    </w:p>
    <w:p>
      <w:pPr>
        <w:pStyle w:val="Normal"/>
        <w:jc w:val="center"/>
        <w:rPr>
          <w:rFonts w:ascii="Times New Roman" w:hAnsi="Times New Roman"/>
          <w:sz w:val="24"/>
          <w:szCs w:val="24"/>
        </w:rPr>
      </w:pPr>
      <w:r>
        <w:rPr>
          <w:rFonts w:ascii="Times New Roman" w:hAnsi="Times New Roman"/>
          <w:b/>
          <w:sz w:val="24"/>
          <w:szCs w:val="24"/>
        </w:rPr>
        <w:t>MJESTA NA KORIŠTENJE</w:t>
      </w:r>
    </w:p>
    <w:p>
      <w:pPr>
        <w:pStyle w:val="Normal"/>
        <w:spacing w:before="0" w:after="0"/>
        <w:jc w:val="center"/>
        <w:rPr>
          <w:rFonts w:ascii="Times New Roman" w:hAnsi="Times New Roman"/>
          <w:sz w:val="24"/>
          <w:szCs w:val="24"/>
        </w:rPr>
      </w:pPr>
      <w:r>
        <w:rPr>
          <w:rFonts w:ascii="Times New Roman" w:hAnsi="Times New Roman"/>
          <w:b/>
          <w:sz w:val="24"/>
          <w:szCs w:val="24"/>
        </w:rPr>
        <w:t>Članak 4.</w:t>
      </w:r>
    </w:p>
    <w:p>
      <w:pPr>
        <w:pStyle w:val="Normal"/>
        <w:rPr>
          <w:rFonts w:ascii="Times New Roman" w:hAnsi="Times New Roman"/>
          <w:sz w:val="24"/>
          <w:szCs w:val="24"/>
        </w:rPr>
      </w:pPr>
      <w:r>
        <w:rPr>
          <w:rFonts w:ascii="Times New Roman" w:hAnsi="Times New Roman"/>
          <w:sz w:val="24"/>
          <w:szCs w:val="24"/>
        </w:rPr>
        <w:t>Grobovi i grobnice su za obiteljski i pojedinačni pokop. Obiteljski grobovi i grobnice služe za pokop više pokojnika, a u grob, odnosno grobnicu, za pojedinačni pokop, pokapa se jedna umrla osoba.</w:t>
      </w:r>
    </w:p>
    <w:p>
      <w:pPr>
        <w:pStyle w:val="Normal"/>
        <w:spacing w:before="0" w:after="0"/>
        <w:jc w:val="center"/>
        <w:rPr>
          <w:rFonts w:ascii="Times New Roman" w:hAnsi="Times New Roman"/>
          <w:sz w:val="24"/>
          <w:szCs w:val="24"/>
        </w:rPr>
      </w:pPr>
      <w:r>
        <w:rPr>
          <w:rFonts w:ascii="Times New Roman" w:hAnsi="Times New Roman"/>
          <w:b/>
          <w:sz w:val="24"/>
          <w:szCs w:val="24"/>
        </w:rPr>
        <w:t>Članak 5</w:t>
      </w:r>
      <w:r>
        <w:rPr>
          <w:rFonts w:ascii="Times New Roman" w:hAnsi="Times New Roman"/>
          <w:sz w:val="24"/>
          <w:szCs w:val="24"/>
        </w:rPr>
        <w:t>.</w:t>
      </w:r>
    </w:p>
    <w:p>
      <w:pPr>
        <w:pStyle w:val="Normal"/>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Grobna mjesta dodjeljuju se na slijedeći način:</w:t>
      </w:r>
    </w:p>
    <w:p>
      <w:pPr>
        <w:pStyle w:val="ListParagraph"/>
        <w:numPr>
          <w:ilvl w:val="0"/>
          <w:numId w:val="1"/>
        </w:numPr>
        <w:rPr>
          <w:rFonts w:ascii="Times New Roman" w:hAnsi="Times New Roman"/>
          <w:sz w:val="24"/>
          <w:szCs w:val="24"/>
        </w:rPr>
      </w:pPr>
      <w:r>
        <w:rPr>
          <w:rFonts w:ascii="Times New Roman" w:hAnsi="Times New Roman"/>
          <w:sz w:val="24"/>
          <w:szCs w:val="24"/>
        </w:rPr>
        <w:t>grobovi i grobovi za urne dodjeljuju se prema planu rasporeda i  korištenja grobnih mjesta kojeg donosi Uprava groblja, redoslijedom prema  brojevima grobovima i grobnih mjesta označenim u položenom planu grobnih  mjesta i grobnica,</w:t>
      </w:r>
    </w:p>
    <w:p>
      <w:pPr>
        <w:pStyle w:val="ListParagraph"/>
        <w:numPr>
          <w:ilvl w:val="0"/>
          <w:numId w:val="1"/>
        </w:numPr>
        <w:rPr>
          <w:rFonts w:ascii="Times New Roman" w:hAnsi="Times New Roman"/>
          <w:sz w:val="24"/>
          <w:szCs w:val="24"/>
        </w:rPr>
      </w:pPr>
      <w:r>
        <w:rPr>
          <w:rFonts w:ascii="Times New Roman" w:hAnsi="Times New Roman"/>
          <w:sz w:val="24"/>
          <w:szCs w:val="24"/>
        </w:rPr>
        <w:t>grobnici i grobnice za urne dodjeljuju se prema planu rasporeda i  korištenja grobnih mjesta, na način da se u najvećoj mogućoj mjeri  nastoji udovoljiti željama korisnika, te prema raspoloživim mjestima.</w:t>
      </w:r>
    </w:p>
    <w:p>
      <w:pPr>
        <w:pStyle w:val="ListParagraph"/>
        <w:numPr>
          <w:ilvl w:val="0"/>
          <w:numId w:val="0"/>
        </w:numPr>
        <w:ind w:hanging="0" w:left="405"/>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b/>
          <w:sz w:val="24"/>
          <w:szCs w:val="24"/>
        </w:rPr>
        <w:t>III. VREMENSKI RAZMACI UKOPA U POPUNJENA GROBNA MJESTA</w:t>
      </w:r>
    </w:p>
    <w:p>
      <w:pPr>
        <w:pStyle w:val="Normal"/>
        <w:spacing w:before="0" w:after="0"/>
        <w:jc w:val="center"/>
        <w:rPr>
          <w:rFonts w:ascii="Times New Roman" w:hAnsi="Times New Roman"/>
          <w:sz w:val="24"/>
          <w:szCs w:val="24"/>
        </w:rPr>
      </w:pPr>
      <w:r>
        <w:rPr>
          <w:rFonts w:ascii="Times New Roman" w:hAnsi="Times New Roman"/>
          <w:b/>
          <w:sz w:val="24"/>
          <w:szCs w:val="24"/>
        </w:rPr>
        <w:t>Članak 6.</w:t>
      </w:r>
    </w:p>
    <w:p>
      <w:pPr>
        <w:pStyle w:val="Normal"/>
        <w:rPr>
          <w:rFonts w:ascii="Times New Roman" w:hAnsi="Times New Roman"/>
          <w:sz w:val="24"/>
          <w:szCs w:val="24"/>
        </w:rPr>
      </w:pPr>
      <w:r>
        <w:rPr>
          <w:rFonts w:ascii="Times New Roman" w:hAnsi="Times New Roman"/>
          <w:sz w:val="24"/>
          <w:szCs w:val="24"/>
        </w:rPr>
        <w:t>U popunjena grobna mjesta može se odobriti ukop nakon proteka 15 godina od posljednjeg ukopa u grob, odnosno nakon proteka 30 godina od ukopa u grobnicu.  Uprava groblja će prije dodijele popunjenog grobnog mjesta drugom korisniku, premjestiti ostatke preminulog iz popunjenog groba u zajedničku kosturnicu izgrađenu za tu svrhu.</w:t>
      </w:r>
    </w:p>
    <w:p>
      <w:pPr>
        <w:pStyle w:val="Normal"/>
        <w:rPr>
          <w:rFonts w:ascii="Times New Roman" w:hAnsi="Times New Roman"/>
          <w:sz w:val="24"/>
          <w:szCs w:val="24"/>
        </w:rPr>
      </w:pPr>
      <w:r>
        <w:rPr>
          <w:rFonts w:ascii="Times New Roman" w:hAnsi="Times New Roman"/>
          <w:sz w:val="24"/>
          <w:szCs w:val="24"/>
        </w:rPr>
        <w:t>Ukop u popunjena grobna mjesta izvršiti će se na osnovi redoslijeda utvrđenog Planom i rasporedom korištenja grobnih mjesta, kojeg donosi Uprava groblja.</w:t>
      </w:r>
    </w:p>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b/>
          <w:sz w:val="24"/>
          <w:szCs w:val="24"/>
        </w:rPr>
        <w:t>IV. NAČIN UKOPA NEPOZNATIH OSOBA</w:t>
      </w:r>
    </w:p>
    <w:p>
      <w:pPr>
        <w:pStyle w:val="Normal"/>
        <w:spacing w:before="0" w:after="0"/>
        <w:jc w:val="center"/>
        <w:rPr>
          <w:rFonts w:ascii="Times New Roman" w:hAnsi="Times New Roman"/>
          <w:sz w:val="24"/>
          <w:szCs w:val="24"/>
        </w:rPr>
      </w:pPr>
      <w:r>
        <w:rPr>
          <w:rFonts w:ascii="Times New Roman" w:hAnsi="Times New Roman"/>
          <w:b/>
          <w:sz w:val="24"/>
          <w:szCs w:val="24"/>
        </w:rPr>
        <w:t>Članak 7.</w:t>
      </w:r>
    </w:p>
    <w:p>
      <w:pPr>
        <w:pStyle w:val="Normal"/>
        <w:rPr>
          <w:rFonts w:ascii="Times New Roman" w:hAnsi="Times New Roman"/>
          <w:sz w:val="24"/>
          <w:szCs w:val="24"/>
        </w:rPr>
      </w:pPr>
      <w:r>
        <w:rPr>
          <w:rFonts w:ascii="Times New Roman" w:hAnsi="Times New Roman"/>
          <w:sz w:val="24"/>
          <w:szCs w:val="24"/>
        </w:rPr>
        <w:t>Nepoznate osobe ukopati će se na groblju na način uobičajen mjesnim prilikama, osiguravajući pri tome pristupne podatke o nepoznatoj osobi (dob, spol, datum smrti) na odgovarajući način.</w:t>
      </w:r>
    </w:p>
    <w:p>
      <w:pPr>
        <w:pStyle w:val="Normal"/>
        <w:rPr>
          <w:rFonts w:ascii="Times New Roman" w:hAnsi="Times New Roman"/>
          <w:sz w:val="24"/>
          <w:szCs w:val="24"/>
        </w:rPr>
      </w:pPr>
      <w:r>
        <w:rPr>
          <w:rFonts w:ascii="Times New Roman" w:hAnsi="Times New Roman"/>
          <w:sz w:val="24"/>
          <w:szCs w:val="24"/>
        </w:rPr>
        <w:t>Ukop nepoznatih osoba izvršit će se na dijelu groblja označenom Planom i rasporedom korištenja grobnih mjesta kojeg odredi Uprava groblja.</w:t>
      </w:r>
    </w:p>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V. ODRŽAVANJE GROBLJA I UKLANJANJE OTPADA</w:t>
      </w:r>
    </w:p>
    <w:p>
      <w:pPr>
        <w:pStyle w:val="Normal"/>
        <w:spacing w:before="0" w:after="0"/>
        <w:jc w:val="center"/>
        <w:rPr>
          <w:rFonts w:ascii="Times New Roman" w:hAnsi="Times New Roman"/>
          <w:sz w:val="24"/>
          <w:szCs w:val="24"/>
        </w:rPr>
      </w:pPr>
      <w:r>
        <w:rPr>
          <w:rFonts w:ascii="Times New Roman" w:hAnsi="Times New Roman"/>
          <w:b/>
          <w:sz w:val="24"/>
          <w:szCs w:val="24"/>
        </w:rPr>
        <w:t>Članak 8.</w:t>
      </w:r>
    </w:p>
    <w:p>
      <w:pPr>
        <w:pStyle w:val="Normal"/>
        <w:jc w:val="both"/>
        <w:rPr>
          <w:rFonts w:ascii="Times New Roman" w:hAnsi="Times New Roman"/>
          <w:sz w:val="24"/>
          <w:szCs w:val="24"/>
        </w:rPr>
      </w:pPr>
      <w:r>
        <w:rPr>
          <w:rFonts w:ascii="Times New Roman" w:hAnsi="Times New Roman"/>
          <w:sz w:val="24"/>
          <w:szCs w:val="24"/>
        </w:rPr>
        <w:t>Pod održavanjem groblja razumijeva se održavanje ograđenog prostora, zemljišta na kojem se nalaze grobna mjesta, krematoriji</w:t>
      </w:r>
      <w:bookmarkStart w:id="0" w:name="_GoBack"/>
      <w:bookmarkEnd w:id="0"/>
      <w:r>
        <w:rPr>
          <w:rFonts w:ascii="Times New Roman" w:hAnsi="Times New Roman"/>
          <w:sz w:val="24"/>
          <w:szCs w:val="24"/>
        </w:rPr>
        <w:t>, mrtvačnica, dvorana za izlaganje na odru, prostorije za ispraćaj umrlih i dr.</w:t>
      </w:r>
    </w:p>
    <w:p>
      <w:pPr>
        <w:pStyle w:val="Normal"/>
        <w:jc w:val="both"/>
        <w:rPr>
          <w:rFonts w:ascii="Times New Roman" w:hAnsi="Times New Roman"/>
          <w:sz w:val="24"/>
          <w:szCs w:val="24"/>
        </w:rPr>
      </w:pPr>
      <w:r>
        <w:rPr>
          <w:rFonts w:ascii="Times New Roman" w:hAnsi="Times New Roman"/>
          <w:sz w:val="24"/>
          <w:szCs w:val="24"/>
        </w:rPr>
        <w:t>Održavanje groblja, košnju zelenih površina obavljat će tvrtka Doroslov d.o.o. po dostavljenoj narudžbenici za isto i po važećim cijenama za spomenutu uslugu.</w:t>
      </w:r>
    </w:p>
    <w:p>
      <w:pPr>
        <w:pStyle w:val="Normal"/>
        <w:spacing w:before="0" w:after="0"/>
        <w:jc w:val="center"/>
        <w:rPr>
          <w:rFonts w:ascii="Times New Roman" w:hAnsi="Times New Roman"/>
          <w:sz w:val="24"/>
          <w:szCs w:val="24"/>
        </w:rPr>
      </w:pPr>
      <w:r>
        <w:rPr>
          <w:rFonts w:ascii="Times New Roman" w:hAnsi="Times New Roman"/>
          <w:b/>
          <w:sz w:val="24"/>
          <w:szCs w:val="24"/>
        </w:rPr>
        <w:t>Članak 9.</w:t>
      </w:r>
    </w:p>
    <w:p>
      <w:pPr>
        <w:pStyle w:val="Normal"/>
        <w:rPr>
          <w:rFonts w:ascii="Times New Roman" w:hAnsi="Times New Roman"/>
          <w:sz w:val="24"/>
          <w:szCs w:val="24"/>
        </w:rPr>
      </w:pPr>
      <w:r>
        <w:rPr>
          <w:rFonts w:ascii="Times New Roman" w:hAnsi="Times New Roman"/>
          <w:sz w:val="24"/>
          <w:szCs w:val="24"/>
        </w:rPr>
        <w:t>Groblje, te objekti na groblju moraju biti ograđeni i održavani na način da budu uredni i čisti, na način da se ne vrijeđaju osjećaji pijeteta prema mrtvima.</w:t>
      </w:r>
    </w:p>
    <w:p>
      <w:pPr>
        <w:pStyle w:val="Normal"/>
        <w:spacing w:before="0" w:after="0"/>
        <w:jc w:val="center"/>
        <w:rPr>
          <w:rFonts w:ascii="Times New Roman" w:hAnsi="Times New Roman"/>
          <w:sz w:val="24"/>
          <w:szCs w:val="24"/>
        </w:rPr>
      </w:pPr>
      <w:r>
        <w:rPr>
          <w:rFonts w:ascii="Times New Roman" w:hAnsi="Times New Roman"/>
          <w:b/>
          <w:sz w:val="24"/>
          <w:szCs w:val="24"/>
        </w:rPr>
        <w:t>Članak 10.</w:t>
      </w:r>
    </w:p>
    <w:p>
      <w:pPr>
        <w:pStyle w:val="Normal"/>
        <w:rPr>
          <w:rFonts w:ascii="Times New Roman" w:hAnsi="Times New Roman"/>
          <w:sz w:val="24"/>
          <w:szCs w:val="24"/>
        </w:rPr>
      </w:pPr>
      <w:r>
        <w:rPr>
          <w:rFonts w:ascii="Times New Roman" w:hAnsi="Times New Roman"/>
          <w:sz w:val="24"/>
          <w:szCs w:val="24"/>
        </w:rPr>
        <w:t>Grobovi i drugi objekti na groblju moraju se izgrađivati prema Planu uređenja groblja i rasporeda groblja, a u skladu s propisima o građenju, estetskim, sanitarnim i drugim tehničkim uvjetima.</w:t>
      </w:r>
    </w:p>
    <w:p>
      <w:pPr>
        <w:pStyle w:val="Normal"/>
        <w:rPr>
          <w:rFonts w:ascii="Times New Roman" w:hAnsi="Times New Roman"/>
          <w:sz w:val="24"/>
          <w:szCs w:val="24"/>
        </w:rPr>
      </w:pPr>
      <w:r>
        <w:rPr>
          <w:rFonts w:ascii="Times New Roman" w:hAnsi="Times New Roman"/>
          <w:sz w:val="24"/>
          <w:szCs w:val="24"/>
        </w:rPr>
        <w:t>Pri izvođenju radova iz stavka 1. ovog članka, izvođači su dužni pridržavati se odredaba o redu na groblju, a naročito:</w:t>
      </w:r>
    </w:p>
    <w:p>
      <w:pPr>
        <w:pStyle w:val="ListParagraph"/>
        <w:numPr>
          <w:ilvl w:val="0"/>
          <w:numId w:val="2"/>
        </w:numPr>
        <w:rPr>
          <w:rFonts w:ascii="Times New Roman" w:hAnsi="Times New Roman"/>
          <w:sz w:val="24"/>
          <w:szCs w:val="24"/>
        </w:rPr>
      </w:pPr>
      <w:r>
        <w:rPr>
          <w:rFonts w:ascii="Times New Roman" w:hAnsi="Times New Roman"/>
          <w:sz w:val="24"/>
          <w:szCs w:val="24"/>
        </w:rPr>
        <w:t>radovi se moraju izvoditi na način da se do najveće mjere očuva mir i dostojanstvo na groblju, a mogu se obavljati samo u radne dane, odnosno kada to odredi Uprava groblja</w:t>
      </w:r>
    </w:p>
    <w:p>
      <w:pPr>
        <w:pStyle w:val="ListParagraph"/>
        <w:numPr>
          <w:ilvl w:val="0"/>
          <w:numId w:val="2"/>
        </w:numPr>
        <w:rPr>
          <w:rFonts w:ascii="Times New Roman" w:hAnsi="Times New Roman"/>
          <w:sz w:val="24"/>
          <w:szCs w:val="24"/>
        </w:rPr>
      </w:pPr>
      <w:r>
        <w:rPr>
          <w:rFonts w:ascii="Times New Roman" w:hAnsi="Times New Roman"/>
          <w:sz w:val="24"/>
          <w:szCs w:val="24"/>
        </w:rPr>
        <w:t>građevni materijal (opeka, kamen, šljunak, pijesak, cement, vapno i drugo) može se držati na groblju samo kraće vrijeme koje je neophodno za izvršenje radova i na način da se time ne ometa promet u groblju,</w:t>
      </w:r>
    </w:p>
    <w:p>
      <w:pPr>
        <w:pStyle w:val="ListParagraph"/>
        <w:numPr>
          <w:ilvl w:val="0"/>
          <w:numId w:val="2"/>
        </w:numPr>
        <w:rPr>
          <w:rFonts w:ascii="Times New Roman" w:hAnsi="Times New Roman"/>
          <w:sz w:val="24"/>
          <w:szCs w:val="24"/>
        </w:rPr>
      </w:pPr>
      <w:r>
        <w:rPr>
          <w:rFonts w:ascii="Times New Roman" w:hAnsi="Times New Roman"/>
          <w:sz w:val="24"/>
          <w:szCs w:val="24"/>
        </w:rPr>
        <w:t>u slučaju prekida radova, kao i poslije njihova završetka, izvođač je dužan bez odlaganja gradilište dovesti u prijašnje stanje,</w:t>
      </w:r>
    </w:p>
    <w:p>
      <w:pPr>
        <w:pStyle w:val="ListParagraph"/>
        <w:numPr>
          <w:ilvl w:val="0"/>
          <w:numId w:val="2"/>
        </w:numPr>
        <w:rPr>
          <w:rFonts w:ascii="Times New Roman" w:hAnsi="Times New Roman"/>
          <w:sz w:val="24"/>
          <w:szCs w:val="24"/>
        </w:rPr>
      </w:pPr>
      <w:r>
        <w:rPr>
          <w:rFonts w:ascii="Times New Roman" w:hAnsi="Times New Roman"/>
          <w:sz w:val="24"/>
          <w:szCs w:val="24"/>
        </w:rPr>
        <w:t>za prijevoz materijala potrebnog za izvođenje radova na groblju, mogu se koristiti samo oni putovi i staze koje odredi Uprava groblja.</w:t>
      </w:r>
    </w:p>
    <w:p>
      <w:pPr>
        <w:pStyle w:val="Normal"/>
        <w:jc w:val="both"/>
        <w:rPr>
          <w:rFonts w:ascii="Times New Roman" w:hAnsi="Times New Roman"/>
          <w:sz w:val="24"/>
          <w:szCs w:val="24"/>
        </w:rPr>
      </w:pPr>
      <w:r>
        <w:rPr>
          <w:rFonts w:ascii="Times New Roman" w:hAnsi="Times New Roman"/>
          <w:sz w:val="24"/>
          <w:szCs w:val="24"/>
        </w:rPr>
        <w:t>Radovi na uređenju i izgradnji grobova i drugih objekata na groblju mogu se obavljati samo nakon prethodne prijave Upravi groblja i davanje osiguranja za namirenje troškova koja će ista imati u svezi s npr. iskolčenjem pravca za uređenje grobnog humka, odvoz iskopane zemlje i drugih otpadaka, uređenje putova, utrošak vode i slično.</w:t>
      </w:r>
    </w:p>
    <w:p>
      <w:pPr>
        <w:pStyle w:val="Normal"/>
        <w:rPr>
          <w:rFonts w:ascii="Times New Roman" w:hAnsi="Times New Roman"/>
          <w:sz w:val="24"/>
          <w:szCs w:val="24"/>
        </w:rPr>
      </w:pPr>
      <w:r>
        <w:rPr>
          <w:rFonts w:ascii="Times New Roman" w:hAnsi="Times New Roman"/>
          <w:sz w:val="24"/>
          <w:szCs w:val="24"/>
        </w:rPr>
        <w:t>Uprava grobljem zabranit će rad na određenom objektu onom izvođaču radova koji započne s radom bez prethodne prijave i davanje osiguranja za namirenje troškova iz prethodnog stavka.</w:t>
      </w:r>
    </w:p>
    <w:p>
      <w:pPr>
        <w:pStyle w:val="Normal"/>
        <w:spacing w:before="0" w:after="0"/>
        <w:jc w:val="center"/>
        <w:rPr>
          <w:rFonts w:ascii="Times New Roman" w:hAnsi="Times New Roman"/>
          <w:sz w:val="24"/>
          <w:szCs w:val="24"/>
        </w:rPr>
      </w:pPr>
      <w:r>
        <w:rPr>
          <w:rFonts w:ascii="Times New Roman" w:hAnsi="Times New Roman"/>
          <w:b/>
          <w:sz w:val="24"/>
          <w:szCs w:val="24"/>
        </w:rPr>
        <w:t>Članak 11.</w:t>
      </w:r>
    </w:p>
    <w:p>
      <w:pPr>
        <w:pStyle w:val="Normal"/>
        <w:jc w:val="both"/>
        <w:rPr>
          <w:rFonts w:ascii="Times New Roman" w:hAnsi="Times New Roman"/>
          <w:sz w:val="24"/>
          <w:szCs w:val="24"/>
        </w:rPr>
      </w:pPr>
      <w:r>
        <w:rPr>
          <w:rFonts w:ascii="Times New Roman" w:hAnsi="Times New Roman"/>
          <w:sz w:val="24"/>
          <w:szCs w:val="24"/>
        </w:rPr>
        <w:t xml:space="preserve">Korisnik grobnog mjesta odlučuje o obliku i načinu uređenja grobnog mjesta.  Kad se nadgrobni spomenici postavljaju od materijala trajne vrijednosti, moraju po obliku i načinu izvedbe biti u skladu s okolinom i mjesnim običajima. </w:t>
      </w:r>
    </w:p>
    <w:p>
      <w:pPr>
        <w:pStyle w:val="Normal"/>
        <w:rPr>
          <w:rFonts w:ascii="Times New Roman" w:hAnsi="Times New Roman"/>
          <w:sz w:val="24"/>
          <w:szCs w:val="24"/>
        </w:rPr>
      </w:pPr>
      <w:r>
        <w:rPr>
          <w:rFonts w:ascii="Times New Roman" w:hAnsi="Times New Roman"/>
          <w:sz w:val="24"/>
          <w:szCs w:val="24"/>
        </w:rPr>
        <w:t>Prije izgradnje nadgrobnog spomenika korisnik groba mora ishoditi suglasnost Uprave groblja glede oblika i načina izvedbe istog.</w:t>
      </w:r>
    </w:p>
    <w:p>
      <w:pPr>
        <w:pStyle w:val="Normal"/>
        <w:spacing w:before="0" w:after="0"/>
        <w:jc w:val="center"/>
        <w:rPr>
          <w:rFonts w:ascii="Times New Roman" w:hAnsi="Times New Roman"/>
          <w:sz w:val="24"/>
          <w:szCs w:val="24"/>
        </w:rPr>
      </w:pPr>
      <w:r>
        <w:rPr>
          <w:rFonts w:ascii="Times New Roman" w:hAnsi="Times New Roman"/>
          <w:b/>
          <w:sz w:val="24"/>
          <w:szCs w:val="24"/>
        </w:rPr>
        <w:t>Članak 12.</w:t>
      </w:r>
    </w:p>
    <w:p>
      <w:pPr>
        <w:pStyle w:val="Normal"/>
        <w:rPr>
          <w:rFonts w:ascii="Times New Roman" w:hAnsi="Times New Roman"/>
          <w:sz w:val="24"/>
          <w:szCs w:val="24"/>
        </w:rPr>
      </w:pPr>
      <w:r>
        <w:rPr>
          <w:rFonts w:ascii="Times New Roman" w:hAnsi="Times New Roman"/>
          <w:sz w:val="24"/>
          <w:szCs w:val="24"/>
        </w:rPr>
        <w:t>Korisnici grobnog mjesta dužni su grobna mjesta koja koriste uređivati na primjereni način, te održavati red i čistoću da ne oštete susjedna grobna mjesta. Svaki grob, odnosno grobnica mora biti označen prikladnim nadgrobnim znakom.</w:t>
      </w:r>
    </w:p>
    <w:p>
      <w:pPr>
        <w:pStyle w:val="Normal"/>
        <w:spacing w:before="0" w:after="0"/>
        <w:jc w:val="center"/>
        <w:rPr>
          <w:rFonts w:ascii="Times New Roman" w:hAnsi="Times New Roman"/>
          <w:sz w:val="24"/>
          <w:szCs w:val="24"/>
        </w:rPr>
      </w:pPr>
      <w:r>
        <w:rPr>
          <w:rFonts w:ascii="Times New Roman" w:hAnsi="Times New Roman"/>
          <w:b/>
          <w:sz w:val="24"/>
          <w:szCs w:val="24"/>
        </w:rPr>
        <w:t>Članak 13.</w:t>
      </w:r>
    </w:p>
    <w:p>
      <w:pPr>
        <w:pStyle w:val="Normal"/>
        <w:rPr>
          <w:rFonts w:ascii="Times New Roman" w:hAnsi="Times New Roman"/>
          <w:sz w:val="24"/>
          <w:szCs w:val="24"/>
        </w:rPr>
      </w:pPr>
      <w:r>
        <w:rPr>
          <w:rFonts w:ascii="Times New Roman" w:hAnsi="Times New Roman"/>
          <w:sz w:val="24"/>
          <w:szCs w:val="24"/>
        </w:rPr>
        <w:t>Uprava groblja dužna je na određenim mjestima na groblju osigurati pravilno odlaganje smeća, otpadaka, ostataka vijenaca i slično.</w:t>
      </w:r>
    </w:p>
    <w:p>
      <w:pPr>
        <w:pStyle w:val="Normal"/>
        <w:rPr>
          <w:rFonts w:ascii="Times New Roman" w:hAnsi="Times New Roman"/>
          <w:sz w:val="24"/>
          <w:szCs w:val="24"/>
        </w:rPr>
      </w:pPr>
      <w:r>
        <w:rPr>
          <w:rFonts w:ascii="Times New Roman" w:hAnsi="Times New Roman"/>
          <w:sz w:val="24"/>
          <w:szCs w:val="24"/>
        </w:rPr>
        <w:t xml:space="preserve">Odvoz i  pražnjenje spremnika za otpad obavljat će tvrtka Doroslov d.o.o. po dostavljenoj narudžbenici </w:t>
      </w:r>
      <w:r>
        <w:rPr>
          <w:rFonts w:ascii="Times New Roman" w:hAnsi="Times New Roman"/>
          <w:sz w:val="24"/>
          <w:szCs w:val="24"/>
        </w:rPr>
        <w:t>O</w:t>
      </w:r>
      <w:r>
        <w:rPr>
          <w:rFonts w:ascii="Times New Roman" w:hAnsi="Times New Roman"/>
          <w:sz w:val="24"/>
          <w:szCs w:val="24"/>
        </w:rPr>
        <w:t>pćine Marijanci po važećim cijenama za isto.</w:t>
      </w:r>
    </w:p>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b/>
          <w:sz w:val="24"/>
          <w:szCs w:val="24"/>
        </w:rPr>
        <w:t>VI. UVJETI I MJERILA UPRAVLJANJA GROBLJEM</w:t>
      </w:r>
    </w:p>
    <w:p>
      <w:pPr>
        <w:pStyle w:val="Normal"/>
        <w:spacing w:before="0" w:after="0"/>
        <w:jc w:val="center"/>
        <w:rPr>
          <w:rFonts w:ascii="Times New Roman" w:hAnsi="Times New Roman"/>
          <w:sz w:val="24"/>
          <w:szCs w:val="24"/>
        </w:rPr>
      </w:pPr>
      <w:r>
        <w:rPr>
          <w:rFonts w:ascii="Times New Roman" w:hAnsi="Times New Roman"/>
          <w:b/>
          <w:sz w:val="24"/>
          <w:szCs w:val="24"/>
        </w:rPr>
        <w:t>Članak 14.</w:t>
      </w:r>
    </w:p>
    <w:p>
      <w:pPr>
        <w:pStyle w:val="Normal"/>
        <w:rPr>
          <w:rFonts w:ascii="Times New Roman" w:hAnsi="Times New Roman"/>
          <w:sz w:val="24"/>
          <w:szCs w:val="24"/>
        </w:rPr>
      </w:pPr>
      <w:r>
        <w:rPr>
          <w:rFonts w:ascii="Times New Roman" w:hAnsi="Times New Roman"/>
          <w:sz w:val="24"/>
          <w:szCs w:val="24"/>
        </w:rPr>
        <w:t xml:space="preserve">Uprava groblja obavezna je osigurati raspoloživi broj grobnih mjesta u funkcionalnom stanju za potrebe redovnog ukopa umrlih osoba u svim naseljima na području </w:t>
      </w:r>
      <w:r>
        <w:rPr>
          <w:rFonts w:ascii="Times New Roman" w:hAnsi="Times New Roman"/>
          <w:sz w:val="24"/>
          <w:szCs w:val="24"/>
        </w:rPr>
        <w:t>O</w:t>
      </w:r>
      <w:r>
        <w:rPr>
          <w:rFonts w:ascii="Times New Roman" w:hAnsi="Times New Roman"/>
          <w:sz w:val="24"/>
          <w:szCs w:val="24"/>
        </w:rPr>
        <w:t>pćine Marijanci.</w:t>
      </w:r>
    </w:p>
    <w:p>
      <w:pPr>
        <w:pStyle w:val="Normal"/>
        <w:rPr>
          <w:rFonts w:ascii="Times New Roman" w:hAnsi="Times New Roman"/>
          <w:sz w:val="24"/>
          <w:szCs w:val="24"/>
        </w:rPr>
      </w:pPr>
      <w:r>
        <w:rPr>
          <w:rFonts w:ascii="Times New Roman" w:hAnsi="Times New Roman"/>
          <w:sz w:val="24"/>
          <w:szCs w:val="24"/>
        </w:rPr>
        <w:t>Uprava groblja mora osigurati održavanje i uređenje groblja kao komunalnog objekta u stanju funkcionalne sposobnosti i na način da se ne narušava pijetet umrlim osobama.</w:t>
      </w:r>
    </w:p>
    <w:p>
      <w:pPr>
        <w:pStyle w:val="Normal"/>
        <w:rPr>
          <w:rFonts w:ascii="Times New Roman" w:hAnsi="Times New Roman"/>
          <w:sz w:val="24"/>
          <w:szCs w:val="24"/>
        </w:rPr>
      </w:pPr>
      <w:r>
        <w:rPr>
          <w:rFonts w:ascii="Times New Roman" w:hAnsi="Times New Roman"/>
          <w:sz w:val="24"/>
          <w:szCs w:val="24"/>
        </w:rPr>
      </w:r>
    </w:p>
    <w:p>
      <w:pPr>
        <w:pStyle w:val="Normal"/>
        <w:spacing w:before="0" w:after="0"/>
        <w:jc w:val="center"/>
        <w:rPr>
          <w:rFonts w:ascii="Times New Roman" w:hAnsi="Times New Roman"/>
          <w:sz w:val="24"/>
          <w:szCs w:val="24"/>
        </w:rPr>
      </w:pPr>
      <w:r>
        <w:rPr>
          <w:rFonts w:ascii="Times New Roman" w:hAnsi="Times New Roman"/>
          <w:b/>
          <w:sz w:val="24"/>
          <w:szCs w:val="24"/>
        </w:rPr>
        <w:t>VII. NAKNADA KOD DODJELE GROBNOG MJESTA NA</w:t>
      </w:r>
    </w:p>
    <w:p>
      <w:pPr>
        <w:pStyle w:val="Normal"/>
        <w:jc w:val="center"/>
        <w:rPr>
          <w:rFonts w:ascii="Times New Roman" w:hAnsi="Times New Roman"/>
          <w:sz w:val="24"/>
          <w:szCs w:val="24"/>
        </w:rPr>
      </w:pPr>
      <w:r>
        <w:rPr>
          <w:rFonts w:ascii="Times New Roman" w:hAnsi="Times New Roman"/>
          <w:b/>
          <w:sz w:val="24"/>
          <w:szCs w:val="24"/>
        </w:rPr>
        <w:t>KORIŠTENJE NA NEODREĐENO VRIJEME</w:t>
      </w:r>
    </w:p>
    <w:p>
      <w:pPr>
        <w:pStyle w:val="Normal"/>
        <w:spacing w:before="0" w:after="0"/>
        <w:jc w:val="center"/>
        <w:rPr>
          <w:rFonts w:ascii="Times New Roman" w:hAnsi="Times New Roman"/>
          <w:sz w:val="24"/>
          <w:szCs w:val="24"/>
        </w:rPr>
      </w:pPr>
      <w:r>
        <w:rPr>
          <w:rFonts w:ascii="Times New Roman" w:hAnsi="Times New Roman"/>
          <w:b/>
          <w:sz w:val="24"/>
          <w:szCs w:val="24"/>
        </w:rPr>
        <w:t>Članak 15.</w:t>
      </w:r>
    </w:p>
    <w:p>
      <w:pPr>
        <w:pStyle w:val="Normal"/>
        <w:rPr>
          <w:rFonts w:ascii="Times New Roman" w:hAnsi="Times New Roman"/>
          <w:sz w:val="24"/>
          <w:szCs w:val="24"/>
        </w:rPr>
      </w:pPr>
      <w:r>
        <w:rPr>
          <w:rFonts w:ascii="Times New Roman" w:hAnsi="Times New Roman"/>
          <w:sz w:val="24"/>
          <w:szCs w:val="24"/>
        </w:rPr>
        <w:t xml:space="preserve">U svim naseljima na području </w:t>
      </w:r>
      <w:r>
        <w:rPr>
          <w:rFonts w:ascii="Times New Roman" w:hAnsi="Times New Roman"/>
          <w:sz w:val="24"/>
          <w:szCs w:val="24"/>
        </w:rPr>
        <w:t>O</w:t>
      </w:r>
      <w:r>
        <w:rPr>
          <w:rFonts w:ascii="Times New Roman" w:hAnsi="Times New Roman"/>
          <w:sz w:val="24"/>
          <w:szCs w:val="24"/>
        </w:rPr>
        <w:t>pćine Marijanci naknada za dodjelu jednostrukog grobnog mjesta na korištenje na neodređeno vrijeme iznosi 127,42 eura + PDV.</w:t>
      </w:r>
    </w:p>
    <w:p>
      <w:pPr>
        <w:pStyle w:val="Normal"/>
        <w:rPr>
          <w:rFonts w:ascii="Times New Roman" w:hAnsi="Times New Roman"/>
          <w:sz w:val="24"/>
          <w:szCs w:val="24"/>
        </w:rPr>
      </w:pPr>
      <w:r>
        <w:rPr>
          <w:rFonts w:ascii="Times New Roman" w:hAnsi="Times New Roman"/>
          <w:sz w:val="24"/>
          <w:szCs w:val="24"/>
        </w:rPr>
        <w:t xml:space="preserve">U svim naseljima na području </w:t>
      </w:r>
      <w:r>
        <w:rPr>
          <w:rFonts w:ascii="Times New Roman" w:hAnsi="Times New Roman"/>
          <w:sz w:val="24"/>
          <w:szCs w:val="24"/>
        </w:rPr>
        <w:t>O</w:t>
      </w:r>
      <w:r>
        <w:rPr>
          <w:rFonts w:ascii="Times New Roman" w:hAnsi="Times New Roman"/>
          <w:sz w:val="24"/>
          <w:szCs w:val="24"/>
        </w:rPr>
        <w:t xml:space="preserve">pćine Marijanci naknada za dodjelu </w:t>
      </w:r>
      <w:r>
        <w:rPr>
          <w:rFonts w:ascii="Times New Roman" w:hAnsi="Times New Roman"/>
          <w:sz w:val="24"/>
          <w:szCs w:val="24"/>
        </w:rPr>
        <w:t>dvo</w:t>
      </w:r>
      <w:r>
        <w:rPr>
          <w:rFonts w:ascii="Times New Roman" w:hAnsi="Times New Roman"/>
          <w:sz w:val="24"/>
          <w:szCs w:val="24"/>
        </w:rPr>
        <w:t>strukog grobnog mjesta na korištenje na nedređeno vrijeme iznosi 254,83 eura + PDV.</w:t>
      </w:r>
    </w:p>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b/>
          <w:sz w:val="24"/>
          <w:szCs w:val="24"/>
        </w:rPr>
        <w:t>VIII.GODIŠNJA NAKNADA ZA KORIŠTENJE GROBNOG MJESTA</w:t>
      </w:r>
    </w:p>
    <w:p>
      <w:pPr>
        <w:pStyle w:val="Normal"/>
        <w:spacing w:before="0" w:after="0"/>
        <w:jc w:val="center"/>
        <w:rPr>
          <w:rFonts w:ascii="Times New Roman" w:hAnsi="Times New Roman"/>
          <w:sz w:val="24"/>
          <w:szCs w:val="24"/>
        </w:rPr>
      </w:pPr>
      <w:r>
        <w:rPr>
          <w:rFonts w:ascii="Times New Roman" w:hAnsi="Times New Roman"/>
          <w:b/>
          <w:sz w:val="24"/>
          <w:szCs w:val="24"/>
        </w:rPr>
        <w:t>Članak 16.</w:t>
      </w:r>
    </w:p>
    <w:p>
      <w:pPr>
        <w:pStyle w:val="Normal"/>
        <w:rPr>
          <w:rFonts w:ascii="Times New Roman" w:hAnsi="Times New Roman"/>
          <w:sz w:val="24"/>
          <w:szCs w:val="24"/>
        </w:rPr>
      </w:pPr>
      <w:r>
        <w:rPr>
          <w:rFonts w:ascii="Times New Roman" w:hAnsi="Times New Roman"/>
          <w:sz w:val="24"/>
          <w:szCs w:val="24"/>
        </w:rPr>
        <w:t xml:space="preserve">Korisnici plaćaju godišnju naknadu za korištenje grobnih mjesta u svim naseljima području </w:t>
      </w:r>
      <w:r>
        <w:rPr>
          <w:rFonts w:ascii="Times New Roman" w:hAnsi="Times New Roman"/>
          <w:sz w:val="24"/>
          <w:szCs w:val="24"/>
        </w:rPr>
        <w:t>O</w:t>
      </w:r>
      <w:r>
        <w:rPr>
          <w:rFonts w:ascii="Times New Roman" w:hAnsi="Times New Roman"/>
          <w:sz w:val="24"/>
          <w:szCs w:val="24"/>
        </w:rPr>
        <w:t>pćine Marijanci</w:t>
      </w:r>
    </w:p>
    <w:p>
      <w:pPr>
        <w:pStyle w:val="Normal"/>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13,27 eura + PDV za jednostruko grobno mjesto,</w:t>
      </w:r>
    </w:p>
    <w:p>
      <w:pPr>
        <w:pStyle w:val="Normal"/>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26,54 eura + PDV za dvostruko grobno mjesto,</w:t>
      </w:r>
    </w:p>
    <w:p>
      <w:pPr>
        <w:pStyle w:val="Normal"/>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39,83 eura + PDV za trostruko grobno mjesto,</w:t>
      </w:r>
    </w:p>
    <w:p>
      <w:pPr>
        <w:pStyle w:val="Normal"/>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53,08 eura + PDV za četverostruko grobno mjesto.</w:t>
      </w:r>
    </w:p>
    <w:p>
      <w:pPr>
        <w:pStyle w:val="Normal"/>
        <w:spacing w:before="0" w:after="0"/>
        <w:jc w:val="center"/>
        <w:rPr>
          <w:rFonts w:ascii="Times New Roman" w:hAnsi="Times New Roman"/>
          <w:sz w:val="24"/>
          <w:szCs w:val="24"/>
        </w:rPr>
      </w:pPr>
      <w:r>
        <w:rPr>
          <w:rFonts w:ascii="Times New Roman" w:hAnsi="Times New Roman"/>
          <w:b/>
          <w:sz w:val="24"/>
          <w:szCs w:val="24"/>
        </w:rPr>
        <w:t>Članak 17.</w:t>
      </w:r>
    </w:p>
    <w:p>
      <w:pPr>
        <w:pStyle w:val="Normal"/>
        <w:rPr>
          <w:rFonts w:ascii="Times New Roman" w:hAnsi="Times New Roman"/>
          <w:sz w:val="24"/>
          <w:szCs w:val="24"/>
        </w:rPr>
      </w:pPr>
      <w:r>
        <w:rPr>
          <w:rFonts w:ascii="Times New Roman" w:hAnsi="Times New Roman"/>
          <w:sz w:val="24"/>
          <w:szCs w:val="24"/>
        </w:rPr>
        <w:t>Naknadu iz članka 15. ove Odluke plaćaju korisnici, odnosno njihovi nasljednici u roku od osam dana od dana donošenja rješenja o davanju grobnog mjesta na neodređeno vrijeme korištenja.</w:t>
      </w:r>
    </w:p>
    <w:p>
      <w:pPr>
        <w:pStyle w:val="Normal"/>
        <w:rPr>
          <w:rFonts w:ascii="Times New Roman" w:hAnsi="Times New Roman"/>
          <w:sz w:val="24"/>
          <w:szCs w:val="24"/>
        </w:rPr>
      </w:pPr>
      <w:r>
        <w:rPr>
          <w:rFonts w:ascii="Times New Roman" w:hAnsi="Times New Roman"/>
          <w:sz w:val="24"/>
          <w:szCs w:val="24"/>
        </w:rPr>
        <w:t>Naknadu iz članka 16. ove Odluke plaćaju korisnici, odnosno njihovi nasljednici godišnje, time da ista dospijeva do 15. travnja tekuće godine.</w:t>
      </w:r>
    </w:p>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b/>
          <w:sz w:val="24"/>
          <w:szCs w:val="24"/>
        </w:rPr>
        <w:t>IX.PRIJELAZNE I ZAVRŠNE ODREDBE</w:t>
      </w:r>
    </w:p>
    <w:p>
      <w:pPr>
        <w:pStyle w:val="Normal"/>
        <w:spacing w:before="0" w:after="0"/>
        <w:jc w:val="center"/>
        <w:rPr>
          <w:rFonts w:ascii="Times New Roman" w:hAnsi="Times New Roman"/>
          <w:sz w:val="24"/>
          <w:szCs w:val="24"/>
        </w:rPr>
      </w:pPr>
      <w:r>
        <w:rPr>
          <w:rFonts w:ascii="Times New Roman" w:hAnsi="Times New Roman"/>
          <w:b/>
          <w:sz w:val="24"/>
          <w:szCs w:val="24"/>
        </w:rPr>
        <w:t>Članak 18.</w:t>
      </w:r>
    </w:p>
    <w:p>
      <w:pPr>
        <w:pStyle w:val="Normal"/>
        <w:rPr>
          <w:rFonts w:ascii="Times New Roman" w:hAnsi="Times New Roman"/>
          <w:sz w:val="24"/>
          <w:szCs w:val="24"/>
        </w:rPr>
      </w:pPr>
      <w:r>
        <w:rPr>
          <w:rFonts w:ascii="Times New Roman" w:hAnsi="Times New Roman"/>
          <w:sz w:val="24"/>
          <w:szCs w:val="24"/>
        </w:rPr>
        <w:t xml:space="preserve">U svim naseljima na području </w:t>
      </w:r>
      <w:r>
        <w:rPr>
          <w:rFonts w:ascii="Times New Roman" w:hAnsi="Times New Roman"/>
          <w:sz w:val="24"/>
          <w:szCs w:val="24"/>
        </w:rPr>
        <w:t>O</w:t>
      </w:r>
      <w:r>
        <w:rPr>
          <w:rFonts w:ascii="Times New Roman" w:hAnsi="Times New Roman"/>
          <w:sz w:val="24"/>
          <w:szCs w:val="24"/>
        </w:rPr>
        <w:t>pćine Marijanci ukopi se ne obavljaju sve nedjelje kroz godinu, te u dane državnih praznika i blagdana i to:</w:t>
      </w:r>
    </w:p>
    <w:p>
      <w:pPr>
        <w:pStyle w:val="Normal"/>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BOŽIĆ ( 25. </w:t>
      </w:r>
      <w:r>
        <w:rPr>
          <w:rFonts w:ascii="Times New Roman" w:hAnsi="Times New Roman"/>
          <w:sz w:val="24"/>
          <w:szCs w:val="24"/>
        </w:rPr>
        <w:t>i</w:t>
      </w:r>
      <w:r>
        <w:rPr>
          <w:rFonts w:ascii="Times New Roman" w:hAnsi="Times New Roman"/>
          <w:sz w:val="24"/>
          <w:szCs w:val="24"/>
        </w:rPr>
        <w:t xml:space="preserve"> 26.12.)</w:t>
      </w:r>
    </w:p>
    <w:p>
      <w:pPr>
        <w:pStyle w:val="Normal"/>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NOVA GODINA (01.01.)</w:t>
      </w:r>
    </w:p>
    <w:p>
      <w:pPr>
        <w:pStyle w:val="Normal"/>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SVETA TRI KRALJA (06.01.)</w:t>
      </w:r>
    </w:p>
    <w:p>
      <w:pPr>
        <w:pStyle w:val="Normal"/>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SVIJEČNICA (02.02.)</w:t>
      </w:r>
    </w:p>
    <w:p>
      <w:pPr>
        <w:pStyle w:val="Normal"/>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VELIKI PETAK</w:t>
      </w:r>
    </w:p>
    <w:p>
      <w:pPr>
        <w:pStyle w:val="Normal"/>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USKRSNI PONEDJELJAK</w:t>
      </w:r>
    </w:p>
    <w:p>
      <w:pPr>
        <w:pStyle w:val="Normal"/>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UZAŠAĆE</w:t>
      </w:r>
    </w:p>
    <w:p>
      <w:pPr>
        <w:pStyle w:val="Normal"/>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TIJELOVO</w:t>
      </w:r>
    </w:p>
    <w:p>
      <w:pPr>
        <w:pStyle w:val="Normal"/>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VELIKA GOSPA (15.08.)</w:t>
      </w:r>
    </w:p>
    <w:p>
      <w:pPr>
        <w:pStyle w:val="Normal"/>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SVI SVETI (01.11.)</w:t>
      </w:r>
    </w:p>
    <w:p>
      <w:pPr>
        <w:pStyle w:val="Normal"/>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Na zahtjev vjernika druge vjeroispovijesti u dane njihovih svetaca.</w:t>
      </w:r>
    </w:p>
    <w:p>
      <w:pPr>
        <w:pStyle w:val="Normal"/>
        <w:spacing w:before="0" w:after="0"/>
        <w:jc w:val="center"/>
        <w:rPr>
          <w:rFonts w:ascii="Times New Roman" w:hAnsi="Times New Roman"/>
          <w:sz w:val="24"/>
          <w:szCs w:val="24"/>
        </w:rPr>
      </w:pPr>
      <w:r>
        <w:rPr>
          <w:rFonts w:ascii="Times New Roman" w:hAnsi="Times New Roman"/>
          <w:b/>
          <w:sz w:val="24"/>
          <w:szCs w:val="24"/>
        </w:rPr>
        <w:t>Članak 19.</w:t>
      </w:r>
    </w:p>
    <w:p>
      <w:pPr>
        <w:pStyle w:val="Normal"/>
        <w:jc w:val="both"/>
        <w:rPr>
          <w:rFonts w:ascii="Times New Roman" w:hAnsi="Times New Roman"/>
          <w:sz w:val="24"/>
          <w:szCs w:val="24"/>
        </w:rPr>
      </w:pPr>
      <w:r>
        <w:rPr>
          <w:rFonts w:ascii="Times New Roman" w:hAnsi="Times New Roman"/>
          <w:sz w:val="24"/>
          <w:szCs w:val="24"/>
        </w:rPr>
        <w:t xml:space="preserve">Korisnici grobnih mjesta, odnosno njihovi nasljednici u naseljima na području </w:t>
      </w:r>
      <w:r>
        <w:rPr>
          <w:rFonts w:ascii="Times New Roman" w:hAnsi="Times New Roman"/>
          <w:sz w:val="24"/>
          <w:szCs w:val="24"/>
        </w:rPr>
        <w:t>O</w:t>
      </w:r>
      <w:r>
        <w:rPr>
          <w:rFonts w:ascii="Times New Roman" w:hAnsi="Times New Roman"/>
          <w:sz w:val="24"/>
          <w:szCs w:val="24"/>
        </w:rPr>
        <w:t>pćine Marijanci koji u postupku ustrojavanja katastra groblja do 31.12.2025 godine prijave postojeća grobna mjesta Upravi groblja, ne plaćaju naknadu iz članka 15. ove Odluke. Poslije navedenog datuma sva neprijavljena grobna mjesta će se naplaćivati po cijenama iz članka 15 ove Odluke.</w:t>
      </w:r>
    </w:p>
    <w:p>
      <w:pPr>
        <w:pStyle w:val="Normal"/>
        <w:spacing w:before="0" w:after="0"/>
        <w:jc w:val="center"/>
        <w:rPr>
          <w:rFonts w:ascii="Times New Roman" w:hAnsi="Times New Roman"/>
          <w:sz w:val="24"/>
          <w:szCs w:val="24"/>
        </w:rPr>
      </w:pPr>
      <w:r>
        <w:rPr>
          <w:rFonts w:ascii="Times New Roman" w:hAnsi="Times New Roman"/>
          <w:b/>
          <w:sz w:val="24"/>
          <w:szCs w:val="24"/>
        </w:rPr>
        <w:t>Članak 21.</w:t>
      </w:r>
    </w:p>
    <w:p>
      <w:pPr>
        <w:pStyle w:val="Normal"/>
        <w:rPr>
          <w:rFonts w:ascii="Times New Roman" w:hAnsi="Times New Roman"/>
          <w:sz w:val="24"/>
          <w:szCs w:val="24"/>
        </w:rPr>
      </w:pPr>
      <w:r>
        <w:rPr>
          <w:rFonts w:ascii="Times New Roman" w:hAnsi="Times New Roman"/>
          <w:sz w:val="24"/>
          <w:szCs w:val="24"/>
        </w:rPr>
        <w:t xml:space="preserve">Ova Odluka stupa na snagu osmog dana nakon objave u “Službenom glasniku” </w:t>
      </w:r>
      <w:r>
        <w:rPr>
          <w:rFonts w:ascii="Times New Roman" w:hAnsi="Times New Roman"/>
          <w:sz w:val="24"/>
          <w:szCs w:val="24"/>
        </w:rPr>
        <w:t>Općine Marijanci</w:t>
      </w:r>
      <w:r>
        <w:rPr>
          <w:rFonts w:ascii="Times New Roman" w:hAnsi="Times New Roman"/>
          <w:sz w:val="24"/>
          <w:szCs w:val="24"/>
        </w:rPr>
        <w:t xml:space="preserve">.  </w:t>
      </w:r>
    </w:p>
    <w:p>
      <w:pPr>
        <w:pStyle w:val="Normal"/>
        <w:rPr>
          <w:rFonts w:ascii="Times New Roman" w:hAnsi="Times New Roman"/>
          <w:sz w:val="24"/>
          <w:szCs w:val="24"/>
        </w:rPr>
      </w:pPr>
      <w:r>
        <w:rPr>
          <w:rFonts w:ascii="Times New Roman" w:hAnsi="Times New Roman"/>
          <w:sz w:val="24"/>
          <w:szCs w:val="24"/>
        </w:rPr>
        <w:t xml:space="preserve">Odredbe Članka 15. ove Odluke u naseljima na području </w:t>
      </w:r>
      <w:r>
        <w:rPr>
          <w:rFonts w:ascii="Times New Roman" w:hAnsi="Times New Roman"/>
          <w:sz w:val="24"/>
          <w:szCs w:val="24"/>
        </w:rPr>
        <w:t>O</w:t>
      </w:r>
      <w:r>
        <w:rPr>
          <w:rFonts w:ascii="Times New Roman" w:hAnsi="Times New Roman"/>
          <w:sz w:val="24"/>
          <w:szCs w:val="24"/>
        </w:rPr>
        <w:t>pćine Marijanci primjenjivati će se od 01.0</w:t>
      </w:r>
      <w:r>
        <w:rPr>
          <w:rFonts w:ascii="Times New Roman" w:hAnsi="Times New Roman"/>
          <w:sz w:val="24"/>
          <w:szCs w:val="24"/>
        </w:rPr>
        <w:t>3</w:t>
      </w:r>
      <w:r>
        <w:rPr>
          <w:rFonts w:ascii="Times New Roman" w:hAnsi="Times New Roman"/>
          <w:sz w:val="24"/>
          <w:szCs w:val="24"/>
        </w:rPr>
        <w:t>.2025. godine.</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spacing w:before="0" w:after="0"/>
        <w:jc w:val="center"/>
        <w:rPr>
          <w:rFonts w:ascii="Times New Roman" w:hAnsi="Times New Roman"/>
          <w:sz w:val="24"/>
          <w:szCs w:val="24"/>
        </w:rPr>
      </w:pPr>
      <w:r>
        <w:rPr>
          <w:rFonts w:ascii="Times New Roman" w:hAnsi="Times New Roman"/>
          <w:sz w:val="24"/>
          <w:szCs w:val="24"/>
        </w:rPr>
        <w:t>PREDSJEDNIK OPĆINSKOG VIJEĆA</w:t>
      </w:r>
    </w:p>
    <w:p>
      <w:pPr>
        <w:pStyle w:val="Normal"/>
        <w:spacing w:before="0" w:after="160"/>
        <w:jc w:val="center"/>
        <w:rPr>
          <w:rFonts w:ascii="Times New Roman" w:hAnsi="Times New Roman"/>
          <w:sz w:val="24"/>
          <w:szCs w:val="24"/>
        </w:rPr>
      </w:pPr>
      <w:r>
        <w:rPr>
          <w:rFonts w:ascii="Times New Roman" w:hAnsi="Times New Roman"/>
          <w:sz w:val="24"/>
          <w:szCs w:val="24"/>
        </w:rPr>
        <w:t>IVAN MESAROŠ, mag.oec.</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 w:name="Times New Roman">
    <w:charset w:val="01"/>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405" w:hanging="360"/>
      </w:pPr>
      <w:rPr>
        <w:rFonts w:ascii="Calibri" w:hAnsi="Calibri" w:cs="Calibri" w:hint="default"/>
        <w:rFonts w:eastAsiaTheme="minorHAnsi"/>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2">
    <w:lvl w:ilvl="0">
      <w:numFmt w:val="bullet"/>
      <w:lvlText w:val="-"/>
      <w:lvlJc w:val="left"/>
      <w:pPr>
        <w:tabs>
          <w:tab w:val="num" w:pos="0"/>
        </w:tabs>
        <w:ind w:left="450" w:hanging="360"/>
      </w:pPr>
      <w:rPr>
        <w:rFonts w:ascii="Calibri" w:hAnsi="Calibri" w:cs="Calibri" w:hint="default"/>
        <w:rFonts w:eastAsiaTheme="minorHAnsi"/>
      </w:rPr>
    </w:lvl>
    <w:lvl w:ilvl="1">
      <w:start w:val="1"/>
      <w:numFmt w:val="bullet"/>
      <w:lvlText w:val="o"/>
      <w:lvlJc w:val="left"/>
      <w:pPr>
        <w:tabs>
          <w:tab w:val="num" w:pos="0"/>
        </w:tabs>
        <w:ind w:left="1485" w:hanging="360"/>
      </w:pPr>
      <w:rPr>
        <w:rFonts w:ascii="Courier New" w:hAnsi="Courier New" w:cs="Courier New" w:hint="default"/>
      </w:rPr>
    </w:lvl>
    <w:lvl w:ilvl="2">
      <w:start w:val="1"/>
      <w:numFmt w:val="bullet"/>
      <w:lvlText w:val=""/>
      <w:lvlJc w:val="left"/>
      <w:pPr>
        <w:tabs>
          <w:tab w:val="num" w:pos="0"/>
        </w:tabs>
        <w:ind w:left="2205" w:hanging="360"/>
      </w:pPr>
      <w:rPr>
        <w:rFonts w:ascii="Wingdings" w:hAnsi="Wingdings" w:cs="Wingdings" w:hint="default"/>
      </w:rPr>
    </w:lvl>
    <w:lvl w:ilvl="3">
      <w:start w:val="1"/>
      <w:numFmt w:val="bullet"/>
      <w:lvlText w:val=""/>
      <w:lvlJc w:val="left"/>
      <w:pPr>
        <w:tabs>
          <w:tab w:val="num" w:pos="0"/>
        </w:tabs>
        <w:ind w:left="2925" w:hanging="360"/>
      </w:pPr>
      <w:rPr>
        <w:rFonts w:ascii="Symbol" w:hAnsi="Symbol" w:cs="Symbol" w:hint="default"/>
      </w:rPr>
    </w:lvl>
    <w:lvl w:ilvl="4">
      <w:start w:val="1"/>
      <w:numFmt w:val="bullet"/>
      <w:lvlText w:val="o"/>
      <w:lvlJc w:val="left"/>
      <w:pPr>
        <w:tabs>
          <w:tab w:val="num" w:pos="0"/>
        </w:tabs>
        <w:ind w:left="3645" w:hanging="360"/>
      </w:pPr>
      <w:rPr>
        <w:rFonts w:ascii="Courier New" w:hAnsi="Courier New" w:cs="Courier New" w:hint="default"/>
      </w:rPr>
    </w:lvl>
    <w:lvl w:ilvl="5">
      <w:start w:val="1"/>
      <w:numFmt w:val="bullet"/>
      <w:lvlText w:val=""/>
      <w:lvlJc w:val="left"/>
      <w:pPr>
        <w:tabs>
          <w:tab w:val="num" w:pos="0"/>
        </w:tabs>
        <w:ind w:left="4365" w:hanging="360"/>
      </w:pPr>
      <w:rPr>
        <w:rFonts w:ascii="Wingdings" w:hAnsi="Wingdings" w:cs="Wingdings" w:hint="default"/>
      </w:rPr>
    </w:lvl>
    <w:lvl w:ilvl="6">
      <w:start w:val="1"/>
      <w:numFmt w:val="bullet"/>
      <w:lvlText w:val=""/>
      <w:lvlJc w:val="left"/>
      <w:pPr>
        <w:tabs>
          <w:tab w:val="num" w:pos="0"/>
        </w:tabs>
        <w:ind w:left="5085" w:hanging="360"/>
      </w:pPr>
      <w:rPr>
        <w:rFonts w:ascii="Symbol" w:hAnsi="Symbol" w:cs="Symbol" w:hint="default"/>
      </w:rPr>
    </w:lvl>
    <w:lvl w:ilvl="7">
      <w:start w:val="1"/>
      <w:numFmt w:val="bullet"/>
      <w:lvlText w:val="o"/>
      <w:lvlJc w:val="left"/>
      <w:pPr>
        <w:tabs>
          <w:tab w:val="num" w:pos="0"/>
        </w:tabs>
        <w:ind w:left="5805" w:hanging="360"/>
      </w:pPr>
      <w:rPr>
        <w:rFonts w:ascii="Courier New" w:hAnsi="Courier New" w:cs="Courier New" w:hint="default"/>
      </w:rPr>
    </w:lvl>
    <w:lvl w:ilvl="8">
      <w:start w:val="1"/>
      <w:numFmt w:val="bullet"/>
      <w:lvlText w:val=""/>
      <w:lvlJc w:val="left"/>
      <w:pPr>
        <w:tabs>
          <w:tab w:val="num" w:pos="0"/>
        </w:tabs>
        <w:ind w:left="6525"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r-H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hr-HR" w:eastAsia="en-US" w:bidi="ar-SA"/>
    </w:rPr>
  </w:style>
  <w:style w:type="character" w:styleId="DefaultParagraphFont" w:default="1">
    <w:name w:val="Default Paragraph Font"/>
    <w:uiPriority w:val="1"/>
    <w:semiHidden/>
    <w:unhideWhenUsed/>
    <w:qFormat/>
    <w:rPr/>
  </w:style>
  <w:style w:type="paragraph" w:styleId="Stilnaslova">
    <w:name w:val="Stil naslova"/>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oSpacing">
    <w:name w:val="No Spacing"/>
    <w:uiPriority w:val="1"/>
    <w:qFormat/>
    <w:rsid w:val="00562715"/>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hr-HR" w:eastAsia="en-US" w:bidi="ar-SA"/>
    </w:rPr>
  </w:style>
  <w:style w:type="paragraph" w:styleId="ListParagraph">
    <w:name w:val="List Paragraph"/>
    <w:basedOn w:val="Normal"/>
    <w:uiPriority w:val="34"/>
    <w:qFormat/>
    <w:rsid w:val="00562715"/>
    <w:pPr>
      <w:spacing w:before="0" w:after="160"/>
      <w:ind w:left="720"/>
      <w:contextualSpacing/>
    </w:pPr>
    <w:rPr/>
  </w:style>
  <w:style w:type="numbering" w:styleId="NoList" w:default="1">
    <w:name w:val="No List"/>
    <w:uiPriority w:val="99"/>
    <w:semiHidden/>
    <w:unhideWhenUsed/>
    <w:qFormat/>
  </w:style>
  <w:style w:type="table" w:default="1" w:styleId="Obinatablic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sustava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52</TotalTime>
  <Application>LibreOffice/24.2.5.2$Windows_X86_64 LibreOffice_project/bffef4ea93e59bebbeaf7f431bb02b1a39ee8a59</Application>
  <AppVersion>15.0000</AppVersion>
  <Pages>5</Pages>
  <Words>1339</Words>
  <Characters>7506</Characters>
  <CharactersWithSpaces>8818</CharactersWithSpaces>
  <Paragraphs>104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2025-01-21T06:27:00Z</dcterms:created>
  <dc:creator>Doroslov</dc:creator>
  <dc:description/>
  <dc:language>hr-HR</dc:language>
  <cp:lastModifiedBy/>
  <dcterms:modified xsi:type="dcterms:W3CDTF">2025-01-22T09:10:07Z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